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A0847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</w:p>
    <w:p w14:paraId="6A91C385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</w:rPr>
        <w:t>杨学云教授团队科研副产品处置情况说明</w:t>
      </w:r>
    </w:p>
    <w:p w14:paraId="0F200FFE"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38B9A01F">
      <w:pPr>
        <w:ind w:firstLine="640" w:firstLineChars="200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因天气原因晾晒场地小，一次性不能全部处置，本年度共产玉米2513公斤，分二次处置，其中：11月21日出售玉米1425 公</w:t>
      </w:r>
      <w:r>
        <w:rPr>
          <w:rFonts w:hint="eastAsia" w:asciiTheme="minorEastAsia" w:hAnsiTheme="minorEastAsia" w:cstheme="minorEastAsia"/>
          <w:sz w:val="32"/>
          <w:szCs w:val="32"/>
        </w:rPr>
        <w:t>斤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,11月24日出售1088公斤，每公斤2.00元，</w:t>
      </w:r>
      <w:r>
        <w:rPr>
          <w:rFonts w:hint="eastAsia" w:asciiTheme="minorEastAsia" w:hAnsiTheme="minorEastAsia" w:cstheme="minorEastAsia"/>
          <w:sz w:val="32"/>
          <w:szCs w:val="32"/>
        </w:rPr>
        <w:t>合计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总量2513公斤,合计金额5026.00元。</w:t>
      </w:r>
    </w:p>
    <w:p w14:paraId="559B1686">
      <w:pPr>
        <w:rPr>
          <w:rFonts w:hint="eastAsia" w:asciiTheme="minorEastAsia" w:hAnsiTheme="minorEastAsia" w:cstheme="minorEastAsia"/>
          <w:sz w:val="32"/>
          <w:szCs w:val="32"/>
        </w:rPr>
      </w:pPr>
    </w:p>
    <w:p w14:paraId="2C0BDCCF">
      <w:pPr>
        <w:ind w:firstLine="4160" w:firstLineChars="1300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编号：（00700—5206 0219 01）</w:t>
      </w:r>
    </w:p>
    <w:p w14:paraId="0C93689C">
      <w:pPr>
        <w:ind w:firstLine="640" w:firstLineChars="200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 xml:space="preserve"> </w:t>
      </w:r>
      <w:r>
        <w:rPr>
          <w:rFonts w:asciiTheme="minorEastAsia" w:hAnsiTheme="minorEastAsia" w:cstheme="minorEastAsia"/>
          <w:sz w:val="32"/>
          <w:szCs w:val="32"/>
        </w:rPr>
        <w:t xml:space="preserve">     </w:t>
      </w:r>
      <w:bookmarkStart w:id="0" w:name="_GoBack"/>
      <w:r>
        <w:rPr>
          <w:rFonts w:asciiTheme="minorEastAsia" w:hAnsiTheme="minorEastAsia" w:cstheme="minorEastAsia"/>
          <w:sz w:val="32"/>
          <w:szCs w:val="32"/>
        </w:rPr>
        <w:t xml:space="preserve"> </w:t>
      </w:r>
      <w:bookmarkEnd w:id="0"/>
      <w:r>
        <w:rPr>
          <w:rFonts w:asciiTheme="minorEastAsia" w:hAnsiTheme="minorEastAsia" w:cstheme="minorEastAsia"/>
          <w:sz w:val="32"/>
          <w:szCs w:val="32"/>
        </w:rPr>
        <w:t xml:space="preserve">                       </w:t>
      </w:r>
      <w:r>
        <w:rPr>
          <w:rFonts w:hint="eastAsia" w:asciiTheme="minorEastAsia" w:hAnsiTheme="minorEastAsia" w:cstheme="minorEastAsia"/>
          <w:sz w:val="32"/>
          <w:szCs w:val="32"/>
        </w:rPr>
        <w:t>资源环境学院</w:t>
      </w:r>
    </w:p>
    <w:p w14:paraId="53CCA1F3">
      <w:pPr>
        <w:rPr>
          <w:rFonts w:hint="default" w:asciiTheme="minorEastAsia" w:hAnsiTheme="minorEastAsia" w:cstheme="minorEastAsia"/>
          <w:sz w:val="32"/>
          <w:szCs w:val="32"/>
          <w:lang w:val="en-US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                        2025年11月24日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